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95" w:rsidRDefault="00BE3E95">
      <w:bookmarkStart w:id="0" w:name="_GoBack"/>
      <w:bookmarkEnd w:id="0"/>
    </w:p>
    <w:p w:rsidR="004C62FC" w:rsidRDefault="004C62FC" w:rsidP="004C62FC">
      <w:pPr>
        <w:spacing w:after="120"/>
        <w:jc w:val="center"/>
        <w:rPr>
          <w:rFonts w:ascii="Arial" w:hAnsi="Arial" w:cs="Arial"/>
          <w:b/>
          <w:sz w:val="44"/>
        </w:rPr>
      </w:pPr>
      <w:r w:rsidRPr="004C62FC">
        <w:rPr>
          <w:rFonts w:ascii="Arial" w:hAnsi="Arial" w:cs="Arial"/>
          <w:b/>
          <w:sz w:val="44"/>
        </w:rPr>
        <w:t>Mansfield District Council</w:t>
      </w:r>
    </w:p>
    <w:p w:rsidR="004C62FC" w:rsidRDefault="004C62FC" w:rsidP="004C62FC">
      <w:pPr>
        <w:spacing w:after="120"/>
        <w:jc w:val="center"/>
        <w:rPr>
          <w:rFonts w:ascii="Arial" w:hAnsi="Arial" w:cs="Arial"/>
          <w:b/>
          <w:sz w:val="36"/>
        </w:rPr>
      </w:pPr>
      <w:r w:rsidRPr="004C62FC">
        <w:rPr>
          <w:rFonts w:ascii="Arial" w:hAnsi="Arial" w:cs="Arial"/>
          <w:b/>
          <w:sz w:val="36"/>
        </w:rPr>
        <w:t>Polling Places Review Sub-Committee Draft Minutes</w:t>
      </w:r>
    </w:p>
    <w:p w:rsidR="004C62FC" w:rsidRDefault="004C62FC" w:rsidP="004C62FC">
      <w:pPr>
        <w:spacing w:after="120"/>
        <w:rPr>
          <w:rFonts w:ascii="Arial" w:hAnsi="Arial" w:cs="Arial"/>
        </w:rPr>
      </w:pPr>
    </w:p>
    <w:p w:rsidR="004C62FC" w:rsidRDefault="004C62FC" w:rsidP="004C62FC">
      <w:pPr>
        <w:spacing w:after="120"/>
        <w:rPr>
          <w:rFonts w:ascii="Arial" w:hAnsi="Arial" w:cs="Arial"/>
          <w:b/>
          <w:sz w:val="24"/>
        </w:rPr>
      </w:pPr>
      <w:r w:rsidRPr="004C62FC">
        <w:rPr>
          <w:rFonts w:ascii="Arial" w:hAnsi="Arial" w:cs="Arial"/>
          <w:b/>
          <w:sz w:val="24"/>
        </w:rPr>
        <w:t>Date:  Thursday 12 January 2023</w:t>
      </w:r>
      <w:r w:rsidRPr="004C62FC">
        <w:rPr>
          <w:rFonts w:ascii="Arial" w:hAnsi="Arial" w:cs="Arial"/>
          <w:b/>
          <w:sz w:val="24"/>
        </w:rPr>
        <w:tab/>
        <w:t>Time:  5:00 PM</w:t>
      </w:r>
      <w:r w:rsidRPr="004C62FC">
        <w:rPr>
          <w:rFonts w:ascii="Arial" w:hAnsi="Arial" w:cs="Arial"/>
          <w:b/>
          <w:sz w:val="24"/>
        </w:rPr>
        <w:tab/>
        <w:t>Place:  Council Chamber</w:t>
      </w:r>
    </w:p>
    <w:tbl>
      <w:tblPr>
        <w:tblW w:w="5000" w:type="pct"/>
        <w:tblLayout w:type="fixed"/>
        <w:tblLook w:val="0000" w:firstRow="0" w:lastRow="0" w:firstColumn="0" w:lastColumn="0" w:noHBand="0" w:noVBand="0"/>
      </w:tblPr>
      <w:tblGrid>
        <w:gridCol w:w="1941"/>
        <w:gridCol w:w="7765"/>
      </w:tblGrid>
      <w:tr w:rsidR="004C62FC" w:rsidRPr="004C62FC" w:rsidTr="004C62FC">
        <w:tblPrEx>
          <w:tblCellMar>
            <w:top w:w="0" w:type="dxa"/>
            <w:bottom w:w="0" w:type="dxa"/>
          </w:tblCellMar>
        </w:tblPrEx>
        <w:tc>
          <w:tcPr>
            <w:tcW w:w="300" w:type="dxa"/>
          </w:tcPr>
          <w:p w:rsidR="004C62FC" w:rsidRPr="004C62FC" w:rsidRDefault="004C62FC" w:rsidP="004C62FC">
            <w:pPr>
              <w:spacing w:after="120"/>
              <w:rPr>
                <w:rFonts w:ascii="Arial" w:hAnsi="Arial" w:cs="Arial"/>
                <w:b/>
                <w:sz w:val="24"/>
              </w:rPr>
            </w:pPr>
            <w:r>
              <w:rPr>
                <w:rFonts w:ascii="Arial" w:hAnsi="Arial" w:cs="Arial"/>
                <w:b/>
                <w:sz w:val="24"/>
              </w:rPr>
              <w:t xml:space="preserve">Present: </w:t>
            </w:r>
          </w:p>
        </w:tc>
        <w:tc>
          <w:tcPr>
            <w:tcW w:w="1200" w:type="dxa"/>
          </w:tcPr>
          <w:p w:rsidR="004C62FC" w:rsidRPr="004C62FC" w:rsidRDefault="004C62FC" w:rsidP="004C62FC">
            <w:pPr>
              <w:spacing w:after="120"/>
              <w:rPr>
                <w:rFonts w:ascii="Arial" w:hAnsi="Arial" w:cs="Arial"/>
                <w:b/>
                <w:sz w:val="24"/>
              </w:rPr>
            </w:pPr>
            <w:r>
              <w:rPr>
                <w:rFonts w:ascii="Arial" w:hAnsi="Arial" w:cs="Arial"/>
                <w:b/>
                <w:sz w:val="24"/>
              </w:rPr>
              <w:t>Councillor Andrew Burgin, Councillor Teresa Hanstock, Councillor Sue Swinscoe, Councillor Andrew Tristram, Councillor Martin Wright</w:t>
            </w:r>
          </w:p>
        </w:tc>
      </w:tr>
      <w:tr w:rsidR="004C62FC" w:rsidRPr="004C62FC" w:rsidTr="004C62FC">
        <w:tblPrEx>
          <w:tblCellMar>
            <w:top w:w="0" w:type="dxa"/>
            <w:bottom w:w="0" w:type="dxa"/>
          </w:tblCellMar>
        </w:tblPrEx>
        <w:tc>
          <w:tcPr>
            <w:tcW w:w="300" w:type="dxa"/>
          </w:tcPr>
          <w:p w:rsidR="004C62FC" w:rsidRPr="004C62FC" w:rsidRDefault="004C62FC" w:rsidP="004C62FC">
            <w:pPr>
              <w:spacing w:after="120"/>
              <w:rPr>
                <w:rFonts w:ascii="Arial" w:hAnsi="Arial" w:cs="Arial"/>
                <w:b/>
                <w:sz w:val="24"/>
              </w:rPr>
            </w:pPr>
            <w:r>
              <w:rPr>
                <w:rFonts w:ascii="Arial" w:hAnsi="Arial" w:cs="Arial"/>
                <w:b/>
                <w:sz w:val="24"/>
              </w:rPr>
              <w:t xml:space="preserve">In Attendance: </w:t>
            </w:r>
          </w:p>
        </w:tc>
        <w:tc>
          <w:tcPr>
            <w:tcW w:w="1200" w:type="dxa"/>
          </w:tcPr>
          <w:p w:rsidR="004C62FC" w:rsidRDefault="004C62FC" w:rsidP="004C62FC">
            <w:pPr>
              <w:spacing w:after="120"/>
              <w:rPr>
                <w:rFonts w:ascii="Arial" w:hAnsi="Arial" w:cs="Arial"/>
                <w:b/>
                <w:sz w:val="24"/>
              </w:rPr>
            </w:pPr>
            <w:r>
              <w:rPr>
                <w:rFonts w:ascii="Arial" w:hAnsi="Arial" w:cs="Arial"/>
                <w:b/>
                <w:sz w:val="24"/>
              </w:rPr>
              <w:t>E. Cieslak, A. Hill and M. Pemberton</w:t>
            </w:r>
          </w:p>
          <w:p w:rsidR="004C62FC" w:rsidRPr="004C62FC" w:rsidRDefault="004C62FC" w:rsidP="004C62FC">
            <w:pPr>
              <w:spacing w:after="120"/>
              <w:rPr>
                <w:rFonts w:ascii="Arial" w:hAnsi="Arial" w:cs="Arial"/>
                <w:b/>
                <w:sz w:val="24"/>
              </w:rPr>
            </w:pPr>
          </w:p>
        </w:tc>
      </w:tr>
    </w:tbl>
    <w:p w:rsidR="004C62FC" w:rsidRDefault="004C62FC" w:rsidP="004C62FC">
      <w:pPr>
        <w:spacing w:after="120"/>
        <w:jc w:val="both"/>
        <w:rPr>
          <w:rFonts w:ascii="Arial" w:hAnsi="Arial" w:cs="Arial"/>
        </w:rPr>
      </w:pPr>
    </w:p>
    <w:tbl>
      <w:tblPr>
        <w:tblW w:w="5000" w:type="pct"/>
        <w:tblLayout w:type="fixed"/>
        <w:tblLook w:val="0000" w:firstRow="0" w:lastRow="0" w:firstColumn="0" w:lastColumn="0" w:noHBand="0" w:noVBand="0"/>
      </w:tblPr>
      <w:tblGrid>
        <w:gridCol w:w="1491"/>
        <w:gridCol w:w="8215"/>
      </w:tblGrid>
      <w:tr w:rsidR="004C62FC" w:rsidRPr="004C62FC" w:rsidTr="004C62FC">
        <w:tblPrEx>
          <w:tblCellMar>
            <w:top w:w="0" w:type="dxa"/>
            <w:bottom w:w="0" w:type="dxa"/>
          </w:tblCellMar>
        </w:tblPrEx>
        <w:tc>
          <w:tcPr>
            <w:tcW w:w="200" w:type="dxa"/>
          </w:tcPr>
          <w:p w:rsidR="004C62FC" w:rsidRPr="004C62FC" w:rsidRDefault="004C62FC" w:rsidP="004C62FC">
            <w:pPr>
              <w:spacing w:after="120"/>
              <w:jc w:val="both"/>
              <w:rPr>
                <w:rFonts w:ascii="Arial" w:hAnsi="Arial" w:cs="Arial"/>
                <w:b/>
                <w:sz w:val="24"/>
              </w:rPr>
            </w:pPr>
          </w:p>
        </w:tc>
        <w:tc>
          <w:tcPr>
            <w:tcW w:w="1300" w:type="dxa"/>
          </w:tcPr>
          <w:p w:rsidR="004C62FC" w:rsidRPr="004C62FC" w:rsidRDefault="004C62FC" w:rsidP="004C62FC">
            <w:pPr>
              <w:spacing w:after="120"/>
              <w:jc w:val="both"/>
              <w:rPr>
                <w:rFonts w:ascii="Arial" w:hAnsi="Arial" w:cs="Arial"/>
                <w:b/>
                <w:sz w:val="24"/>
              </w:rPr>
            </w:pPr>
            <w:r>
              <w:rPr>
                <w:rFonts w:ascii="Arial" w:hAnsi="Arial" w:cs="Arial"/>
                <w:b/>
                <w:sz w:val="24"/>
              </w:rPr>
              <w:t>APOLOGIES FOR ABSENCE</w:t>
            </w:r>
          </w:p>
        </w:tc>
      </w:tr>
      <w:tr w:rsidR="004C62FC" w:rsidRPr="004C62FC" w:rsidTr="004C62FC">
        <w:tblPrEx>
          <w:tblCellMar>
            <w:top w:w="0" w:type="dxa"/>
            <w:bottom w:w="0" w:type="dxa"/>
          </w:tblCellMar>
        </w:tblPrEx>
        <w:tc>
          <w:tcPr>
            <w:tcW w:w="200" w:type="dxa"/>
          </w:tcPr>
          <w:p w:rsidR="004C62FC" w:rsidRPr="004C62FC" w:rsidRDefault="004C62FC" w:rsidP="004C62FC">
            <w:pPr>
              <w:spacing w:after="120"/>
              <w:jc w:val="both"/>
              <w:rPr>
                <w:rFonts w:ascii="Arial" w:hAnsi="Arial" w:cs="Arial"/>
                <w:b/>
                <w:sz w:val="24"/>
              </w:rPr>
            </w:pPr>
          </w:p>
        </w:tc>
        <w:tc>
          <w:tcPr>
            <w:tcW w:w="1300" w:type="dxa"/>
          </w:tcPr>
          <w:p w:rsidR="004C62FC" w:rsidRDefault="004C62FC" w:rsidP="004C62FC">
            <w:pPr>
              <w:spacing w:after="120"/>
              <w:jc w:val="both"/>
              <w:rPr>
                <w:rFonts w:ascii="Arial" w:hAnsi="Arial" w:cs="Arial"/>
                <w:sz w:val="24"/>
              </w:rPr>
            </w:pPr>
            <w:r>
              <w:rPr>
                <w:rFonts w:ascii="Arial" w:hAnsi="Arial" w:cs="Arial"/>
                <w:sz w:val="24"/>
              </w:rPr>
              <w:t>None</w:t>
            </w:r>
          </w:p>
          <w:p w:rsidR="004C62FC" w:rsidRPr="004C62FC" w:rsidRDefault="004C62FC" w:rsidP="004C62FC">
            <w:pPr>
              <w:spacing w:after="120"/>
              <w:jc w:val="both"/>
              <w:rPr>
                <w:rFonts w:ascii="Arial" w:hAnsi="Arial" w:cs="Arial"/>
                <w:sz w:val="24"/>
              </w:rPr>
            </w:pPr>
          </w:p>
        </w:tc>
      </w:tr>
      <w:tr w:rsidR="004C62FC" w:rsidRPr="004C62FC" w:rsidTr="004C62FC">
        <w:tblPrEx>
          <w:tblCellMar>
            <w:top w:w="0" w:type="dxa"/>
            <w:bottom w:w="0" w:type="dxa"/>
          </w:tblCellMar>
        </w:tblPrEx>
        <w:tc>
          <w:tcPr>
            <w:tcW w:w="200" w:type="dxa"/>
          </w:tcPr>
          <w:p w:rsidR="004C62FC" w:rsidRPr="004C62FC" w:rsidRDefault="004C62FC" w:rsidP="004C62FC">
            <w:pPr>
              <w:spacing w:after="120"/>
              <w:jc w:val="both"/>
              <w:rPr>
                <w:rFonts w:ascii="Arial" w:hAnsi="Arial" w:cs="Arial"/>
                <w:b/>
                <w:sz w:val="24"/>
              </w:rPr>
            </w:pPr>
            <w:r>
              <w:rPr>
                <w:rFonts w:ascii="Arial" w:hAnsi="Arial" w:cs="Arial"/>
                <w:b/>
                <w:sz w:val="24"/>
              </w:rPr>
              <w:t>23/01</w:t>
            </w:r>
          </w:p>
        </w:tc>
        <w:tc>
          <w:tcPr>
            <w:tcW w:w="1300" w:type="dxa"/>
          </w:tcPr>
          <w:p w:rsidR="004C62FC" w:rsidRPr="004C62FC" w:rsidRDefault="004C62FC" w:rsidP="004C62FC">
            <w:pPr>
              <w:spacing w:after="120"/>
              <w:jc w:val="both"/>
              <w:rPr>
                <w:rFonts w:ascii="Arial" w:hAnsi="Arial" w:cs="Arial"/>
                <w:b/>
                <w:sz w:val="24"/>
              </w:rPr>
            </w:pPr>
            <w:r>
              <w:rPr>
                <w:rFonts w:ascii="Arial" w:hAnsi="Arial" w:cs="Arial"/>
                <w:b/>
                <w:sz w:val="24"/>
              </w:rPr>
              <w:t>DECLARATIONS OF INTEREST</w:t>
            </w:r>
          </w:p>
        </w:tc>
      </w:tr>
      <w:tr w:rsidR="004C62FC" w:rsidRPr="004C62FC" w:rsidTr="004C62FC">
        <w:tblPrEx>
          <w:tblCellMar>
            <w:top w:w="0" w:type="dxa"/>
            <w:bottom w:w="0" w:type="dxa"/>
          </w:tblCellMar>
        </w:tblPrEx>
        <w:tc>
          <w:tcPr>
            <w:tcW w:w="200" w:type="dxa"/>
          </w:tcPr>
          <w:p w:rsidR="004C62FC" w:rsidRPr="004C62FC" w:rsidRDefault="004C62FC" w:rsidP="004C62FC">
            <w:pPr>
              <w:spacing w:after="120"/>
              <w:jc w:val="both"/>
              <w:rPr>
                <w:rFonts w:ascii="Arial" w:hAnsi="Arial" w:cs="Arial"/>
                <w:b/>
                <w:sz w:val="24"/>
              </w:rPr>
            </w:pPr>
          </w:p>
        </w:tc>
        <w:tc>
          <w:tcPr>
            <w:tcW w:w="1300" w:type="dxa"/>
          </w:tcPr>
          <w:p w:rsidR="004C62FC" w:rsidRDefault="004C62FC" w:rsidP="004C62FC">
            <w:pPr>
              <w:spacing w:after="120"/>
              <w:jc w:val="both"/>
              <w:rPr>
                <w:rFonts w:ascii="Arial" w:hAnsi="Arial" w:cs="Arial"/>
                <w:sz w:val="24"/>
              </w:rPr>
            </w:pPr>
            <w:r>
              <w:rPr>
                <w:rFonts w:ascii="Arial" w:hAnsi="Arial" w:cs="Arial"/>
                <w:sz w:val="24"/>
              </w:rPr>
              <w:t>None</w:t>
            </w:r>
          </w:p>
          <w:p w:rsidR="004C62FC" w:rsidRPr="004C62FC" w:rsidRDefault="004C62FC" w:rsidP="004C62FC">
            <w:pPr>
              <w:spacing w:after="120"/>
              <w:jc w:val="both"/>
              <w:rPr>
                <w:rFonts w:ascii="Arial" w:hAnsi="Arial" w:cs="Arial"/>
                <w:sz w:val="24"/>
              </w:rPr>
            </w:pPr>
          </w:p>
        </w:tc>
      </w:tr>
      <w:tr w:rsidR="004C62FC" w:rsidRPr="004C62FC" w:rsidTr="004C62FC">
        <w:tblPrEx>
          <w:tblCellMar>
            <w:top w:w="0" w:type="dxa"/>
            <w:bottom w:w="0" w:type="dxa"/>
          </w:tblCellMar>
        </w:tblPrEx>
        <w:tc>
          <w:tcPr>
            <w:tcW w:w="200" w:type="dxa"/>
          </w:tcPr>
          <w:p w:rsidR="004C62FC" w:rsidRPr="004C62FC" w:rsidRDefault="004C62FC" w:rsidP="004C62FC">
            <w:pPr>
              <w:spacing w:after="120"/>
              <w:jc w:val="both"/>
              <w:rPr>
                <w:rFonts w:ascii="Arial" w:hAnsi="Arial" w:cs="Arial"/>
                <w:b/>
                <w:sz w:val="24"/>
              </w:rPr>
            </w:pPr>
            <w:r>
              <w:rPr>
                <w:rFonts w:ascii="Arial" w:hAnsi="Arial" w:cs="Arial"/>
                <w:b/>
                <w:sz w:val="24"/>
              </w:rPr>
              <w:t>23/02</w:t>
            </w:r>
          </w:p>
        </w:tc>
        <w:tc>
          <w:tcPr>
            <w:tcW w:w="1300" w:type="dxa"/>
          </w:tcPr>
          <w:p w:rsidR="004C62FC" w:rsidRPr="004C62FC" w:rsidRDefault="004C62FC" w:rsidP="004C62FC">
            <w:pPr>
              <w:spacing w:after="120"/>
              <w:jc w:val="both"/>
              <w:rPr>
                <w:rFonts w:ascii="Arial" w:hAnsi="Arial" w:cs="Arial"/>
                <w:b/>
                <w:sz w:val="24"/>
              </w:rPr>
            </w:pPr>
            <w:r>
              <w:rPr>
                <w:rFonts w:ascii="Arial" w:hAnsi="Arial" w:cs="Arial"/>
                <w:b/>
                <w:sz w:val="24"/>
              </w:rPr>
              <w:t xml:space="preserve">INTERIM POLLING PLACE REVIEW 2022 </w:t>
            </w:r>
          </w:p>
        </w:tc>
      </w:tr>
      <w:tr w:rsidR="004C62FC" w:rsidRPr="004C62FC" w:rsidTr="004C62FC">
        <w:tblPrEx>
          <w:tblCellMar>
            <w:top w:w="0" w:type="dxa"/>
            <w:bottom w:w="0" w:type="dxa"/>
          </w:tblCellMar>
        </w:tblPrEx>
        <w:tc>
          <w:tcPr>
            <w:tcW w:w="200" w:type="dxa"/>
          </w:tcPr>
          <w:p w:rsidR="004C62FC" w:rsidRPr="004C62FC" w:rsidRDefault="004C62FC" w:rsidP="004C62FC">
            <w:pPr>
              <w:spacing w:after="120"/>
              <w:jc w:val="both"/>
              <w:rPr>
                <w:rFonts w:ascii="Arial" w:hAnsi="Arial" w:cs="Arial"/>
                <w:b/>
                <w:sz w:val="24"/>
              </w:rPr>
            </w:pPr>
          </w:p>
        </w:tc>
        <w:tc>
          <w:tcPr>
            <w:tcW w:w="1300" w:type="dxa"/>
          </w:tcPr>
          <w:p w:rsidR="004C62FC" w:rsidRDefault="004C62FC" w:rsidP="004C62FC">
            <w:pPr>
              <w:spacing w:after="120"/>
              <w:jc w:val="both"/>
              <w:rPr>
                <w:rFonts w:ascii="Arial" w:hAnsi="Arial" w:cs="Arial"/>
                <w:sz w:val="24"/>
              </w:rPr>
            </w:pPr>
            <w:r>
              <w:rPr>
                <w:rFonts w:ascii="Arial" w:hAnsi="Arial" w:cs="Arial"/>
                <w:sz w:val="24"/>
              </w:rPr>
              <w:t>Following the Returning Officer's offer at the last Full Council, that members submit further suggestions in respect of polling places, the Committee was advised of the outcome of investigations into the members' suggestions. Details of the investigations into the suggestions were outlined in the submitted report. Other the suggestion relating to the use of the Carr Bank Manor Wedding Venue, for polling district CBA of the Carr Bank Ward, none of the other suggestions were recommended.</w:t>
            </w:r>
          </w:p>
          <w:p w:rsidR="004C62FC" w:rsidRDefault="004C62FC" w:rsidP="004C62FC">
            <w:pPr>
              <w:spacing w:after="120"/>
              <w:jc w:val="both"/>
              <w:rPr>
                <w:rFonts w:ascii="Arial" w:hAnsi="Arial" w:cs="Arial"/>
                <w:sz w:val="24"/>
              </w:rPr>
            </w:pPr>
            <w:r>
              <w:rPr>
                <w:rFonts w:ascii="Arial" w:hAnsi="Arial" w:cs="Arial"/>
                <w:sz w:val="24"/>
              </w:rPr>
              <w:t>In respect of the Carr Bank Manor Wedding Venue, following a visit to the premises and discussions with the premises owner, it was proposed to use the venue, subject to minor alterations including the provision of a ramp, for polling district CBA for the Carr Bank ward. Members were advised that polling district CBB would continue to vote at the River Maun Recreation Centre.</w:t>
            </w:r>
          </w:p>
          <w:p w:rsidR="004C62FC" w:rsidRDefault="004C62FC" w:rsidP="004C62FC">
            <w:pPr>
              <w:spacing w:after="120"/>
              <w:jc w:val="both"/>
              <w:rPr>
                <w:rFonts w:ascii="Arial" w:hAnsi="Arial" w:cs="Arial"/>
                <w:sz w:val="24"/>
              </w:rPr>
            </w:pPr>
            <w:r>
              <w:rPr>
                <w:rFonts w:ascii="Arial" w:hAnsi="Arial" w:cs="Arial"/>
                <w:sz w:val="24"/>
              </w:rPr>
              <w:t xml:space="preserve">On the motion being put to the vote, the Chair announced that the polling districts approved by Council remain unchanged with the exception that Polling District CBA of the Carr Bank ward be recommended to vote at the Carr Bank Manor Wedding Venue. </w:t>
            </w:r>
          </w:p>
          <w:p w:rsidR="004C62FC" w:rsidRDefault="004C62FC" w:rsidP="004C62FC">
            <w:pPr>
              <w:spacing w:after="120"/>
              <w:jc w:val="both"/>
              <w:rPr>
                <w:rFonts w:ascii="Arial" w:hAnsi="Arial" w:cs="Arial"/>
                <w:sz w:val="24"/>
              </w:rPr>
            </w:pPr>
            <w:r>
              <w:rPr>
                <w:rFonts w:ascii="Arial" w:hAnsi="Arial" w:cs="Arial"/>
                <w:sz w:val="24"/>
              </w:rPr>
              <w:t xml:space="preserve">RECOMMENDATION TO COUNCIL - That the polling districts approved by Council remain unchanged with the exception that Polling District CBA of the Carr Bank ward be recommended to vote at the Carr Bank Manor Wedding Venue. </w:t>
            </w:r>
          </w:p>
          <w:p w:rsidR="004C62FC" w:rsidRPr="004C62FC" w:rsidRDefault="004C62FC" w:rsidP="004C62FC">
            <w:pPr>
              <w:spacing w:after="120"/>
              <w:jc w:val="both"/>
              <w:rPr>
                <w:rFonts w:ascii="Arial" w:hAnsi="Arial" w:cs="Arial"/>
                <w:sz w:val="24"/>
              </w:rPr>
            </w:pPr>
          </w:p>
        </w:tc>
      </w:tr>
    </w:tbl>
    <w:p w:rsidR="004C62FC" w:rsidRDefault="004C62FC" w:rsidP="004C62FC">
      <w:pPr>
        <w:spacing w:after="120"/>
        <w:jc w:val="both"/>
        <w:rPr>
          <w:rFonts w:ascii="Arial" w:hAnsi="Arial" w:cs="Arial"/>
        </w:rPr>
      </w:pPr>
    </w:p>
    <w:p w:rsidR="004C62FC" w:rsidRDefault="004C62FC" w:rsidP="004C62FC">
      <w:pPr>
        <w:spacing w:after="120"/>
        <w:jc w:val="both"/>
        <w:rPr>
          <w:rFonts w:ascii="Arial" w:hAnsi="Arial" w:cs="Arial"/>
          <w:sz w:val="24"/>
        </w:rPr>
      </w:pPr>
      <w:r w:rsidRPr="004C62FC">
        <w:rPr>
          <w:rFonts w:ascii="Arial" w:hAnsi="Arial" w:cs="Arial"/>
          <w:sz w:val="24"/>
        </w:rPr>
        <w:t>Published: 15/01/2023 11:47.</w:t>
      </w:r>
    </w:p>
    <w:p w:rsidR="004C62FC" w:rsidRPr="004C62FC" w:rsidRDefault="004C62FC" w:rsidP="004C62FC">
      <w:pPr>
        <w:spacing w:after="120"/>
        <w:jc w:val="both"/>
        <w:rPr>
          <w:rFonts w:ascii="Arial" w:hAnsi="Arial" w:cs="Arial"/>
        </w:rPr>
      </w:pPr>
    </w:p>
    <w:sectPr w:rsidR="004C62FC" w:rsidRPr="004C62FC" w:rsidSect="004C62FC">
      <w:headerReference w:type="even" r:id="rId6"/>
      <w:headerReference w:type="default" r:id="rId7"/>
      <w:footerReference w:type="even" r:id="rId8"/>
      <w:footerReference w:type="default" r:id="rId9"/>
      <w:headerReference w:type="first" r:id="rId10"/>
      <w:footerReference w:type="first" r:id="rId11"/>
      <w:pgSz w:w="11906" w:h="16838"/>
      <w:pgMar w:top="800" w:right="1100" w:bottom="800" w:left="11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FC" w:rsidRDefault="004C62FC" w:rsidP="004C62FC">
      <w:pPr>
        <w:spacing w:after="0" w:line="240" w:lineRule="auto"/>
      </w:pPr>
      <w:r>
        <w:separator/>
      </w:r>
    </w:p>
  </w:endnote>
  <w:endnote w:type="continuationSeparator" w:id="0">
    <w:p w:rsidR="004C62FC" w:rsidRDefault="004C62FC" w:rsidP="004C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FC" w:rsidRDefault="004C6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FC" w:rsidRDefault="004C62FC">
    <w:pPr>
      <w:pStyle w:val="Footer"/>
    </w:pPr>
    <w:r>
      <w:fldChar w:fldCharType="begin"/>
    </w:r>
    <w:r>
      <w:instrText xml:space="preserve"> PAGE  \* MERGEFORMAT </w:instrText>
    </w:r>
    <w:r>
      <w:fldChar w:fldCharType="separate"/>
    </w:r>
    <w:r>
      <w:rPr>
        <w:noProof/>
      </w:rPr>
      <w:t>1</w:t>
    </w:r>
    <w:r>
      <w:fldChar w:fldCharType="end"/>
    </w:r>
  </w:p>
  <w:p w:rsidR="004C62FC" w:rsidRDefault="004C6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FC" w:rsidRDefault="004C6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FC" w:rsidRDefault="004C62FC" w:rsidP="004C62FC">
      <w:pPr>
        <w:spacing w:after="0" w:line="240" w:lineRule="auto"/>
      </w:pPr>
      <w:r>
        <w:separator/>
      </w:r>
    </w:p>
  </w:footnote>
  <w:footnote w:type="continuationSeparator" w:id="0">
    <w:p w:rsidR="004C62FC" w:rsidRDefault="004C62FC" w:rsidP="004C6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FC" w:rsidRDefault="004C6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FC" w:rsidRDefault="004C6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FC" w:rsidRDefault="004C6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FC"/>
    <w:rsid w:val="004C62FC"/>
    <w:rsid w:val="00BE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E3895-5D6A-4D80-873A-083991C1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2FC"/>
  </w:style>
  <w:style w:type="paragraph" w:styleId="Footer">
    <w:name w:val="footer"/>
    <w:basedOn w:val="Normal"/>
    <w:link w:val="FooterChar"/>
    <w:uiPriority w:val="99"/>
    <w:unhideWhenUsed/>
    <w:rsid w:val="004C6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Pemberton</dc:creator>
  <cp:keywords/>
  <dc:description/>
  <cp:lastModifiedBy>Mark Pemberton</cp:lastModifiedBy>
  <cp:revision>1</cp:revision>
  <dcterms:created xsi:type="dcterms:W3CDTF">2023-01-15T11:47:00Z</dcterms:created>
  <dcterms:modified xsi:type="dcterms:W3CDTF">2023-01-15T11:49:00Z</dcterms:modified>
</cp:coreProperties>
</file>